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both"/>
        <w:textAlignment w:val="auto"/>
        <w:rPr>
          <w:rFonts w:hint="default" w:ascii="黑体" w:hAnsi="黑体" w:eastAsia="黑体" w:cs="黑体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济南市临街单位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“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门前五包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责任制管理暂行办法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sz w:val="44"/>
          <w:szCs w:val="44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</w:t>
      </w:r>
      <w:r>
        <w:rPr>
          <w:rFonts w:hint="eastAsia" w:ascii="楷体_GB2312" w:hAnsi="楷体_GB2312" w:eastAsia="楷体_GB2312" w:cs="楷体_GB2312"/>
          <w:sz w:val="32"/>
          <w:szCs w:val="32"/>
          <w:lang w:val="en-US" w:eastAsia="zh-CN"/>
        </w:rPr>
        <w:t>征求意见稿</w:t>
      </w: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第一章 总则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第一条 为进一步提升我市城市容貌秩序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巩固国家卫生城市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国家文明城市创建成果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推动城市精细化管理深入开展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建立全社会共同参与的城市管理长效机制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根据国务院《城市市容和环境卫生管理条例》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《山东省城镇容貌和环境卫生管理办法》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《济南市城市市容管理条例》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、《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山东省城市精细化管理标准：市容市貌管理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2"/>
        </w:rPr>
        <w:t>等法规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规范性文件</w:t>
      </w:r>
      <w:r>
        <w:rPr>
          <w:rFonts w:hint="eastAsia" w:ascii="仿宋_GB2312" w:hAnsi="仿宋_GB2312" w:eastAsia="仿宋_GB2312" w:cs="仿宋_GB2312"/>
          <w:sz w:val="32"/>
          <w:szCs w:val="32"/>
        </w:rPr>
        <w:t>规定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结合我市实际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制定本办法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第二条 本办法所称“门前五包”责任制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是指在城市道路两侧单位门前划定责任区范围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由临街各责任单位承担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维护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责任区内的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环境</w:t>
      </w:r>
      <w:r>
        <w:rPr>
          <w:rFonts w:hint="eastAsia" w:ascii="仿宋_GB2312" w:hAnsi="仿宋_GB2312" w:eastAsia="仿宋_GB2312" w:cs="仿宋_GB2312"/>
          <w:sz w:val="32"/>
          <w:szCs w:val="32"/>
        </w:rPr>
        <w:t>卫生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市容</w:t>
      </w:r>
      <w:r>
        <w:rPr>
          <w:rFonts w:hint="eastAsia" w:ascii="仿宋_GB2312" w:hAnsi="仿宋_GB2312" w:eastAsia="仿宋_GB2312" w:cs="仿宋_GB2312"/>
          <w:sz w:val="32"/>
          <w:szCs w:val="32"/>
        </w:rPr>
        <w:t>整洁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基础设施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秩序良好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绿化美观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简称“门前五包”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的城市管理方式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是城市管理长效机制的重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要</w:t>
      </w:r>
      <w:r>
        <w:rPr>
          <w:rFonts w:hint="eastAsia" w:ascii="仿宋_GB2312" w:hAnsi="仿宋_GB2312" w:eastAsia="仿宋_GB2312" w:cs="仿宋_GB2312"/>
          <w:sz w:val="32"/>
          <w:szCs w:val="32"/>
        </w:rPr>
        <w:t>组成部分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责任单位是指城市道路两侧的机关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团体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学校、</w:t>
      </w:r>
      <w:r>
        <w:rPr>
          <w:rFonts w:hint="eastAsia" w:ascii="仿宋_GB2312" w:hAnsi="仿宋_GB2312" w:eastAsia="仿宋_GB2312" w:cs="仿宋_GB2312"/>
          <w:sz w:val="32"/>
          <w:szCs w:val="32"/>
        </w:rPr>
        <w:t>部队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公园、商场、医院、宾馆、酒店、文化娱乐场所、体育场馆、农贸市场、</w:t>
      </w:r>
      <w:r>
        <w:rPr>
          <w:rFonts w:hint="eastAsia" w:ascii="仿宋_GB2312" w:hAnsi="仿宋_GB2312" w:eastAsia="仿宋_GB2312" w:cs="仿宋_GB2312"/>
          <w:sz w:val="32"/>
          <w:szCs w:val="32"/>
        </w:rPr>
        <w:t>企事业单位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和商铺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责任区是指责任单位临街一侧房基线（有护栏或者围墙的，从护栏或者围墙算起）至人行道路沿石，无人行道的，至道路中心线。毗邻单位左右各覆盖1米，无毗邻单位的，从本单位四周房基线起算（有护栏或者围墙的，从护栏或者围墙起算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第三条 市城市综合管理委员会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以下简称市城管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委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负责全市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门前五包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责任制的组织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指导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协调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考核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奖惩</w:t>
      </w:r>
      <w:r>
        <w:rPr>
          <w:rFonts w:hint="eastAsia" w:ascii="仿宋_GB2312" w:hAnsi="仿宋_GB2312" w:eastAsia="仿宋_GB2312" w:cs="仿宋_GB2312"/>
          <w:sz w:val="32"/>
          <w:szCs w:val="32"/>
        </w:rPr>
        <w:t>等管理工作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高新区管委会、南部山区管委会、新旧动能转换先行区管委会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城市综合管理委员会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（以下简称区城管委）</w:t>
      </w:r>
      <w:r>
        <w:rPr>
          <w:rFonts w:hint="eastAsia" w:ascii="仿宋_GB2312" w:hAnsi="仿宋_GB2312" w:eastAsia="仿宋_GB2312" w:cs="仿宋_GB2312"/>
          <w:sz w:val="32"/>
          <w:szCs w:val="32"/>
        </w:rPr>
        <w:t>是落实辖区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门前五包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责任制的第一责任人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县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高新区管委会、南部山区管委会、新旧动能转换先行区管委会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城市综合管理委员会办公室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以下简称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区</w:t>
      </w:r>
      <w:r>
        <w:rPr>
          <w:rFonts w:hint="eastAsia" w:ascii="仿宋_GB2312" w:hAnsi="仿宋_GB2312" w:eastAsia="仿宋_GB2312" w:cs="仿宋_GB2312"/>
          <w:sz w:val="32"/>
          <w:szCs w:val="32"/>
        </w:rPr>
        <w:t>城管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办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具体负责本辖区内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门前五包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责任制的工作领导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日常管理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检查指导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考核奖惩等管理工作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各街道办事处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eastAsia="zh-CN"/>
        </w:rPr>
        <w:t>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镇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是落实辖区内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门前五包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责任制的直接责任人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负责本辖区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eastAsia="zh-CN"/>
        </w:rPr>
        <w:t>“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门前五包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eastAsia="zh-CN"/>
        </w:rPr>
        <w:t>”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责任制的具体实施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none"/>
        </w:rPr>
        <w:t>划分各责任单位的责任区</w:t>
      </w:r>
      <w:r>
        <w:rPr>
          <w:rFonts w:hint="eastAsia" w:ascii="仿宋_GB2312" w:hAnsi="仿宋_GB2312" w:cs="仿宋_GB2312"/>
          <w:color w:val="auto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与各责任单位签订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门前五包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责任书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监督各责任单位严格履行责任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及时协调处理落实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门前五包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责任制出现的问题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城管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综合执法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园林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交通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公安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生态环境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住建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财政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商务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市场监督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文明办等部门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按照各自职责共同做好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门前五包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相关管理工作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第二章 标准与实施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条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门前五包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的具体内容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包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环境</w:t>
      </w:r>
      <w:r>
        <w:rPr>
          <w:rFonts w:hint="eastAsia" w:ascii="仿宋_GB2312" w:hAnsi="仿宋_GB2312" w:eastAsia="仿宋_GB2312" w:cs="仿宋_GB2312"/>
          <w:sz w:val="32"/>
          <w:szCs w:val="32"/>
        </w:rPr>
        <w:t>卫生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维护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责任区环境卫生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自备废弃物容器，落实垃圾袋装要求，并放置在室内或环卫部门指定的地点。维护门前地面清洁，保持门前、室内整洁卫生，做到地上无纸屑、果皮、烟头、污物、污水等。</w:t>
      </w:r>
      <w:r>
        <w:rPr>
          <w:rFonts w:hint="eastAsia" w:ascii="仿宋_GB2312" w:hAnsi="仿宋_GB2312" w:eastAsia="仿宋_GB2312" w:cs="仿宋_GB2312"/>
          <w:sz w:val="32"/>
          <w:szCs w:val="32"/>
        </w:rPr>
        <w:t>维持垃圾收集容器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及</w:t>
      </w:r>
      <w:r>
        <w:rPr>
          <w:rFonts w:hint="eastAsia" w:ascii="仿宋_GB2312" w:hAnsi="仿宋_GB2312" w:eastAsia="仿宋_GB2312" w:cs="仿宋_GB2312"/>
          <w:sz w:val="32"/>
          <w:szCs w:val="32"/>
        </w:rPr>
        <w:t>门前公共设施整洁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制止和举报损坏卫生设施的行为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冬季</w:t>
      </w:r>
      <w:r>
        <w:rPr>
          <w:rFonts w:hint="eastAsia" w:ascii="仿宋_GB2312" w:hAnsi="仿宋_GB2312" w:eastAsia="仿宋_GB2312" w:cs="仿宋_GB2312"/>
          <w:sz w:val="32"/>
          <w:szCs w:val="32"/>
        </w:rPr>
        <w:t>及时清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扫责任区内冰</w:t>
      </w:r>
      <w:r>
        <w:rPr>
          <w:rFonts w:hint="eastAsia" w:ascii="仿宋_GB2312" w:hAnsi="仿宋_GB2312" w:eastAsia="仿宋_GB2312" w:cs="仿宋_GB2312"/>
          <w:sz w:val="32"/>
          <w:szCs w:val="32"/>
        </w:rPr>
        <w:t>雪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包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市容</w:t>
      </w:r>
      <w:r>
        <w:rPr>
          <w:rFonts w:hint="eastAsia" w:ascii="仿宋_GB2312" w:hAnsi="仿宋_GB2312" w:eastAsia="仿宋_GB2312" w:cs="仿宋_GB2312"/>
          <w:sz w:val="32"/>
          <w:szCs w:val="32"/>
        </w:rPr>
        <w:t>整洁。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保持责任区内建筑物立面整洁，不在围墙牌匾、墙壁门窗及灯饰橱窗乱写乱画、乱牵乱挂等，</w:t>
      </w:r>
      <w:r>
        <w:rPr>
          <w:rFonts w:hint="eastAsia" w:ascii="仿宋_GB2312" w:hAnsi="仿宋_GB2312" w:eastAsia="仿宋_GB2312" w:cs="仿宋_GB2312"/>
          <w:sz w:val="32"/>
          <w:szCs w:val="32"/>
        </w:rPr>
        <w:t>屋顶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阳台不堆放和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吊</w:t>
      </w:r>
      <w:r>
        <w:rPr>
          <w:rFonts w:hint="eastAsia" w:ascii="仿宋_GB2312" w:hAnsi="仿宋_GB2312" w:eastAsia="仿宋_GB2312" w:cs="仿宋_GB2312"/>
          <w:sz w:val="32"/>
          <w:szCs w:val="32"/>
        </w:rPr>
        <w:t>挂杂物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门牌号、门前店招、夜景灯光、遮阳（雨）蓬、空调外机和排水（气）管等户外设施按要求设置，并保持完好和整洁。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包基础设施。维护门前人行道板、路沿石、下水道、站牌、垃圾桶等无损坏。建筑施工或门店装修时，须围挡作业。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包秩序良好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遵守城市管理法律法规，维护和保持门前无乱停乱放车辆，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责任区内非机动车摆放整齐有序</w:t>
      </w:r>
      <w:r>
        <w:rPr>
          <w:rFonts w:hint="eastAsia" w:ascii="仿宋_GB2312" w:hAnsi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机动车按停车位停车</w:t>
      </w:r>
      <w:r>
        <w:rPr>
          <w:rFonts w:hint="eastAsia" w:ascii="仿宋_GB2312" w:hAnsi="仿宋_GB2312" w:cs="仿宋_GB2312"/>
          <w:sz w:val="32"/>
          <w:szCs w:val="32"/>
          <w:u w:val="none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首尾一致</w:t>
      </w:r>
      <w:r>
        <w:rPr>
          <w:rFonts w:hint="eastAsia" w:ascii="仿宋_GB2312" w:hAnsi="仿宋_GB2312" w:cs="仿宋_GB2312"/>
          <w:sz w:val="32"/>
          <w:szCs w:val="32"/>
          <w:u w:val="none"/>
          <w:lang w:eastAsia="zh-CN"/>
        </w:rPr>
        <w:t>。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无占道洗（修）车和堆放货物，无乱设置占道广告招牌、标识牌和牵绳挂物，不擅自挖掘道路，无占道经营（含占道娱乐、占道堆放货物）行为。对责任区内的流动摊贩有义务进行劝阻和制止。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包绿化美观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维护责任区内花草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树木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和绿化设施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禁</w:t>
      </w:r>
      <w:r>
        <w:rPr>
          <w:rFonts w:hint="eastAsia" w:ascii="仿宋_GB2312" w:hAnsi="仿宋_GB2312" w:eastAsia="仿宋_GB2312" w:cs="仿宋_GB2312"/>
          <w:sz w:val="32"/>
          <w:szCs w:val="32"/>
        </w:rPr>
        <w:t>止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损坏、</w:t>
      </w:r>
      <w:r>
        <w:rPr>
          <w:rFonts w:hint="eastAsia" w:ascii="仿宋_GB2312" w:hAnsi="仿宋_GB2312" w:eastAsia="仿宋_GB2312" w:cs="仿宋_GB2312"/>
          <w:sz w:val="32"/>
          <w:szCs w:val="32"/>
        </w:rPr>
        <w:t>攀折花草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不得在树上钉钉、拉绳、晾衣、晒被、挂物、搭棚、刻画等，</w:t>
      </w:r>
      <w:r>
        <w:rPr>
          <w:rFonts w:hint="eastAsia" w:ascii="仿宋_GB2312" w:hAnsi="仿宋_GB2312" w:eastAsia="仿宋_GB2312" w:cs="仿宋_GB2312"/>
          <w:sz w:val="32"/>
          <w:szCs w:val="32"/>
        </w:rPr>
        <w:t>严禁占用绿地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严禁向树坑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绿地内倾倒垃圾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污水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等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条 临街责任单位必须根据划定的责任区范围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与所在地街道办事处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镇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签订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门前五包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责任书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并接受街道办事处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镇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和市城市综合管理委员会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办公室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以下简称市城管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办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）、</w:t>
      </w:r>
      <w:r>
        <w:rPr>
          <w:rFonts w:hint="eastAsia" w:ascii="仿宋_GB2312" w:hAnsi="仿宋_GB2312" w:eastAsia="仿宋_GB2312" w:cs="仿宋_GB2312"/>
          <w:sz w:val="32"/>
          <w:szCs w:val="32"/>
        </w:rPr>
        <w:t>区城管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办</w:t>
      </w:r>
      <w:r>
        <w:rPr>
          <w:rFonts w:hint="eastAsia" w:ascii="仿宋_GB2312" w:hAnsi="仿宋_GB2312" w:eastAsia="仿宋_GB2312" w:cs="仿宋_GB2312"/>
          <w:sz w:val="32"/>
          <w:szCs w:val="32"/>
        </w:rPr>
        <w:t>对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门前五包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责任制落实情况的监督检查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门前五包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责任书应包括责任区范围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、“</w:t>
      </w:r>
      <w:r>
        <w:rPr>
          <w:rFonts w:hint="eastAsia" w:ascii="仿宋_GB2312" w:hAnsi="仿宋_GB2312" w:eastAsia="仿宋_GB2312" w:cs="仿宋_GB2312"/>
          <w:sz w:val="32"/>
          <w:szCs w:val="32"/>
        </w:rPr>
        <w:t>门前五包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的具体要求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责任单位的权利和义务以及对责任单位的奖惩等主要条款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第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六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条 责任单位应按照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门前五包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责任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书的内容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在区城管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u w:val="none"/>
          <w:lang w:val="en-US" w:eastAsia="zh-CN"/>
          <w14:textFill>
            <w14:solidFill>
              <w14:schemeClr w14:val="tx1"/>
            </w14:solidFill>
          </w14:textFill>
        </w:rPr>
        <w:t>办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与街道办事处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镇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人民政府的指导下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，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积极做好责任区范围内的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“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门前五包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”</w:t>
      </w:r>
      <w:r>
        <w:rPr>
          <w:rFonts w:hint="eastAsia" w:ascii="仿宋_GB2312" w:hAnsi="仿宋_GB2312" w:eastAsia="仿宋_GB2312" w:cs="仿宋_GB2312"/>
          <w:color w:val="000000" w:themeColor="text1"/>
          <w:sz w:val="32"/>
          <w:szCs w:val="32"/>
          <w:u w:val="none"/>
          <w14:textFill>
            <w14:solidFill>
              <w14:schemeClr w14:val="tx1"/>
            </w14:solidFill>
          </w14:textFill>
        </w:rPr>
        <w:t>工作</w:t>
      </w:r>
      <w:r>
        <w:rPr>
          <w:rFonts w:hint="eastAsia" w:ascii="仿宋_GB2312" w:hAnsi="仿宋_GB2312" w:cs="仿宋_GB2312"/>
          <w:color w:val="000000" w:themeColor="text1"/>
          <w:sz w:val="32"/>
          <w:szCs w:val="32"/>
          <w:u w:val="none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第三章 检查和考评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条 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各</w:t>
      </w:r>
      <w:r>
        <w:rPr>
          <w:rFonts w:hint="eastAsia" w:ascii="仿宋_GB2312" w:hAnsi="仿宋_GB2312" w:eastAsia="仿宋_GB2312" w:cs="仿宋_GB2312"/>
          <w:sz w:val="32"/>
          <w:szCs w:val="32"/>
        </w:rPr>
        <w:t>街道办事处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镇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人民政府应对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门前五包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责任制落实情况加强督促检查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发现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门前五包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责任制不落实或落实得不好的责任单位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应督促整改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条 区城管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办</w:t>
      </w:r>
      <w:r>
        <w:rPr>
          <w:rFonts w:hint="eastAsia" w:ascii="仿宋_GB2312" w:hAnsi="仿宋_GB2312" w:eastAsia="仿宋_GB2312" w:cs="仿宋_GB2312"/>
          <w:sz w:val="32"/>
          <w:szCs w:val="32"/>
        </w:rPr>
        <w:t>应加强对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门前五包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责任制落实情况的监督检查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支持街道办事处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</w:rPr>
        <w:t>镇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和责任单位履行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门前五包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管理责任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2"/>
        </w:rPr>
        <w:t>不落实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门前五包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责任制和责任区内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违反</w:t>
      </w:r>
      <w:r>
        <w:rPr>
          <w:rFonts w:hint="eastAsia" w:ascii="仿宋_GB2312" w:hAnsi="仿宋_GB2312" w:eastAsia="仿宋_GB2312" w:cs="仿宋_GB2312"/>
          <w:sz w:val="32"/>
          <w:szCs w:val="32"/>
        </w:rPr>
        <w:t>城市管理法规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规章的行为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及时转交相关职能部门处理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九</w:t>
      </w:r>
      <w:r>
        <w:rPr>
          <w:rFonts w:hint="eastAsia" w:ascii="仿宋_GB2312" w:hAnsi="仿宋_GB2312" w:eastAsia="仿宋_GB2312" w:cs="仿宋_GB2312"/>
          <w:sz w:val="32"/>
          <w:szCs w:val="32"/>
        </w:rPr>
        <w:t>条 区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城管委</w:t>
      </w:r>
      <w:r>
        <w:rPr>
          <w:rFonts w:hint="eastAsia" w:ascii="仿宋_GB2312" w:hAnsi="仿宋_GB2312" w:eastAsia="仿宋_GB2312" w:cs="仿宋_GB2312"/>
          <w:sz w:val="32"/>
          <w:szCs w:val="32"/>
        </w:rPr>
        <w:t>建立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门前五包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责任制落实情况检查考评制度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每月组织检查一次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每次检查均应做好记录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印发情况通报并限期整改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同时将情况通报及整改情况报市城管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办</w:t>
      </w:r>
      <w:r>
        <w:rPr>
          <w:rFonts w:hint="eastAsia" w:ascii="仿宋_GB2312" w:hAnsi="仿宋_GB2312" w:eastAsia="仿宋_GB2312" w:cs="仿宋_GB2312"/>
          <w:sz w:val="32"/>
          <w:szCs w:val="32"/>
        </w:rPr>
        <w:t>备案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第四章 奖励和惩罚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第十条 每季度区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城管委</w:t>
      </w:r>
      <w:r>
        <w:rPr>
          <w:rFonts w:hint="eastAsia" w:ascii="仿宋_GB2312" w:hAnsi="仿宋_GB2312" w:eastAsia="仿宋_GB2312" w:cs="仿宋_GB2312"/>
          <w:sz w:val="32"/>
          <w:szCs w:val="32"/>
        </w:rPr>
        <w:t>要组织相关职能部门对责任单位履职尽责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情况</w:t>
      </w:r>
      <w:r>
        <w:rPr>
          <w:rFonts w:hint="eastAsia" w:ascii="仿宋_GB2312" w:hAnsi="仿宋_GB2312" w:eastAsia="仿宋_GB2312" w:cs="仿宋_GB2312"/>
          <w:sz w:val="32"/>
          <w:szCs w:val="32"/>
        </w:rPr>
        <w:t>进行测评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并统一制作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门前五包星级单位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公示牌对责任单位实施挂牌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实行动态管理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</w:rPr>
        <w:t>条 有下列情况之一的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按以下规定处理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一年内累计三次检查不符合要求的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由区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城</w:t>
      </w:r>
      <w:r>
        <w:rPr>
          <w:rFonts w:hint="eastAsia" w:ascii="仿宋_GB2312" w:hAnsi="仿宋_GB2312" w:eastAsia="仿宋_GB2312" w:cs="仿宋_GB2312"/>
          <w:sz w:val="32"/>
          <w:szCs w:val="32"/>
        </w:rPr>
        <w:t>管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办</w:t>
      </w:r>
      <w:r>
        <w:rPr>
          <w:rFonts w:hint="eastAsia" w:ascii="仿宋_GB2312" w:hAnsi="仿宋_GB2312" w:eastAsia="仿宋_GB2312" w:cs="仿宋_GB2312"/>
          <w:sz w:val="32"/>
          <w:szCs w:val="32"/>
        </w:rPr>
        <w:t>对责任单位进行通报批评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取消该单位年度文明单位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先进单位评比资格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拒不履行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门前五包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责任的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由有关部门按有关规定依法处理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二</w:t>
      </w:r>
      <w:r>
        <w:rPr>
          <w:rFonts w:hint="eastAsia" w:ascii="仿宋_GB2312" w:hAnsi="仿宋_GB2312" w:eastAsia="仿宋_GB2312" w:cs="仿宋_GB2312"/>
          <w:sz w:val="32"/>
          <w:szCs w:val="32"/>
        </w:rPr>
        <w:t>条 当事人对行政处罚决定不服的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可以依法申请行政复议或向人民法院起诉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逾期不申请复议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也不向人民法院起诉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又不履行处罚决定的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由做出处罚决定的机关申请人民法院强制执行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sz w:val="32"/>
          <w:szCs w:val="32"/>
        </w:rPr>
        <w:t>条 侮辱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殴打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门前五包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管理部门工作人员或者阻挠其执行公务者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由公安机关依照《中华人民共和国治安管理处罚法》有关规定处理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构成犯罪的由司法机关依法追究刑事责任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条 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</w:rPr>
        <w:t>门前五包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”</w:t>
      </w:r>
      <w:r>
        <w:rPr>
          <w:rFonts w:hint="eastAsia" w:ascii="仿宋_GB2312" w:hAnsi="仿宋_GB2312" w:eastAsia="仿宋_GB2312" w:cs="仿宋_GB2312"/>
          <w:sz w:val="32"/>
          <w:szCs w:val="32"/>
        </w:rPr>
        <w:t>管理部门工作人员玩忽职守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滥用职权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</w:rPr>
        <w:t>徇私舞弊的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由其所在单位或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者</w:t>
      </w:r>
      <w:r>
        <w:rPr>
          <w:rFonts w:hint="eastAsia" w:ascii="仿宋_GB2312" w:hAnsi="仿宋_GB2312" w:eastAsia="仿宋_GB2312" w:cs="仿宋_GB2312"/>
          <w:sz w:val="32"/>
          <w:szCs w:val="32"/>
        </w:rPr>
        <w:t>上级主管机关给予行政处分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构成犯罪的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依法追究刑事责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sz w:val="32"/>
          <w:szCs w:val="32"/>
        </w:rPr>
        <w:t>条 本办法适用于本市建成区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建成区外可结合当地实际情况参照执行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第十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六</w:t>
      </w:r>
      <w:r>
        <w:rPr>
          <w:rFonts w:hint="eastAsia" w:ascii="仿宋_GB2312" w:hAnsi="仿宋_GB2312" w:eastAsia="仿宋_GB2312" w:cs="仿宋_GB2312"/>
          <w:sz w:val="32"/>
          <w:szCs w:val="32"/>
        </w:rPr>
        <w:t>条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本办法自公布之日起施行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。</w:t>
      </w:r>
    </w:p>
    <w:sectPr>
      <w:footerReference r:id="rId3" w:type="default"/>
      <w:footerReference r:id="rId4" w:type="even"/>
      <w:pgSz w:w="11906" w:h="16838"/>
      <w:pgMar w:top="1814" w:right="1587" w:bottom="1814" w:left="1587" w:header="851" w:footer="992" w:gutter="0"/>
      <w:cols w:space="0" w:num="1"/>
      <w:rtlGutter w:val="0"/>
      <w:docGrid w:type="linesAndChars" w:linePitch="597" w:charSpace="-2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  <w:rFonts w:ascii="华文中宋" w:hAnsi="华文中宋"/>
        <w:sz w:val="28"/>
        <w:szCs w:val="28"/>
      </w:rPr>
    </w:pPr>
    <w:r>
      <w:rPr>
        <w:rStyle w:val="6"/>
        <w:rFonts w:hint="eastAsia" w:ascii="华文中宋" w:hAnsi="华文中宋"/>
        <w:sz w:val="28"/>
        <w:szCs w:val="28"/>
      </w:rPr>
      <w:t>—</w:t>
    </w:r>
    <w:r>
      <w:rPr>
        <w:rStyle w:val="6"/>
        <w:rFonts w:ascii="华文中宋" w:hAnsi="华文中宋"/>
        <w:sz w:val="28"/>
        <w:szCs w:val="28"/>
      </w:rPr>
      <w:fldChar w:fldCharType="begin"/>
    </w:r>
    <w:r>
      <w:rPr>
        <w:rStyle w:val="6"/>
        <w:rFonts w:ascii="华文中宋" w:hAnsi="华文中宋"/>
        <w:sz w:val="28"/>
        <w:szCs w:val="28"/>
      </w:rPr>
      <w:instrText xml:space="preserve">PAGE  </w:instrText>
    </w:r>
    <w:r>
      <w:rPr>
        <w:rStyle w:val="6"/>
        <w:rFonts w:ascii="华文中宋" w:hAnsi="华文中宋"/>
        <w:sz w:val="28"/>
        <w:szCs w:val="28"/>
      </w:rPr>
      <w:fldChar w:fldCharType="separate"/>
    </w:r>
    <w:r>
      <w:rPr>
        <w:rStyle w:val="6"/>
        <w:rFonts w:ascii="华文中宋" w:hAnsi="华文中宋"/>
        <w:sz w:val="28"/>
        <w:szCs w:val="28"/>
      </w:rPr>
      <w:t>5</w:t>
    </w:r>
    <w:r>
      <w:rPr>
        <w:rStyle w:val="6"/>
        <w:rFonts w:ascii="华文中宋" w:hAnsi="华文中宋"/>
        <w:sz w:val="28"/>
        <w:szCs w:val="28"/>
      </w:rPr>
      <w:fldChar w:fldCharType="end"/>
    </w:r>
    <w:r>
      <w:rPr>
        <w:rStyle w:val="6"/>
        <w:rFonts w:hint="eastAsia" w:ascii="华文中宋" w:hAnsi="华文中宋"/>
        <w:sz w:val="28"/>
        <w:szCs w:val="28"/>
      </w:rPr>
      <w:t>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drawingGridHorizontalSpacing w:val="160"/>
  <w:drawingGridVerticalSpacing w:val="59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0E1"/>
    <w:rsid w:val="0018516C"/>
    <w:rsid w:val="00276ABF"/>
    <w:rsid w:val="003C1D18"/>
    <w:rsid w:val="00435AC3"/>
    <w:rsid w:val="004C435A"/>
    <w:rsid w:val="00524A1E"/>
    <w:rsid w:val="005700A8"/>
    <w:rsid w:val="006150CC"/>
    <w:rsid w:val="0073333F"/>
    <w:rsid w:val="008C3FCB"/>
    <w:rsid w:val="00970A5D"/>
    <w:rsid w:val="00B35BE2"/>
    <w:rsid w:val="00C72883"/>
    <w:rsid w:val="00D13E24"/>
    <w:rsid w:val="00D3694E"/>
    <w:rsid w:val="00D76D50"/>
    <w:rsid w:val="00DC7EEB"/>
    <w:rsid w:val="00E73CF3"/>
    <w:rsid w:val="00EE1E62"/>
    <w:rsid w:val="00F4091B"/>
    <w:rsid w:val="00FD70E1"/>
    <w:rsid w:val="01061E92"/>
    <w:rsid w:val="0528086F"/>
    <w:rsid w:val="067125A6"/>
    <w:rsid w:val="087F6086"/>
    <w:rsid w:val="0BCA5E83"/>
    <w:rsid w:val="0FE263AD"/>
    <w:rsid w:val="12164E7D"/>
    <w:rsid w:val="13112A8E"/>
    <w:rsid w:val="13C40B29"/>
    <w:rsid w:val="158076ED"/>
    <w:rsid w:val="16300E22"/>
    <w:rsid w:val="16B04AB6"/>
    <w:rsid w:val="184F39F5"/>
    <w:rsid w:val="19B879F6"/>
    <w:rsid w:val="1D0A0261"/>
    <w:rsid w:val="1DC3612C"/>
    <w:rsid w:val="20EB4300"/>
    <w:rsid w:val="29D72319"/>
    <w:rsid w:val="2AF86E14"/>
    <w:rsid w:val="2CB23BFA"/>
    <w:rsid w:val="2D3B3688"/>
    <w:rsid w:val="2FE551F1"/>
    <w:rsid w:val="319D6AED"/>
    <w:rsid w:val="330C008C"/>
    <w:rsid w:val="36497EA8"/>
    <w:rsid w:val="371251FF"/>
    <w:rsid w:val="3EAE3E5C"/>
    <w:rsid w:val="3F9730AD"/>
    <w:rsid w:val="412C1A81"/>
    <w:rsid w:val="43AA53B5"/>
    <w:rsid w:val="44954657"/>
    <w:rsid w:val="45793364"/>
    <w:rsid w:val="48591DC4"/>
    <w:rsid w:val="4A7122DC"/>
    <w:rsid w:val="4A7C34A1"/>
    <w:rsid w:val="4BDC0BF6"/>
    <w:rsid w:val="4C046CDE"/>
    <w:rsid w:val="4FDF2B6B"/>
    <w:rsid w:val="50397771"/>
    <w:rsid w:val="50A24FE4"/>
    <w:rsid w:val="50FF2B9C"/>
    <w:rsid w:val="522F70AD"/>
    <w:rsid w:val="52B5778C"/>
    <w:rsid w:val="59066DCE"/>
    <w:rsid w:val="5BCA18F1"/>
    <w:rsid w:val="5C62727B"/>
    <w:rsid w:val="628F523B"/>
    <w:rsid w:val="636918E2"/>
    <w:rsid w:val="65406FBE"/>
    <w:rsid w:val="669E1DF0"/>
    <w:rsid w:val="6DD171F3"/>
    <w:rsid w:val="6E6808C3"/>
    <w:rsid w:val="6E6A0FE2"/>
    <w:rsid w:val="6E7259D2"/>
    <w:rsid w:val="6F064BE9"/>
    <w:rsid w:val="6F8073C7"/>
    <w:rsid w:val="7050119F"/>
    <w:rsid w:val="72256E16"/>
    <w:rsid w:val="72374C22"/>
    <w:rsid w:val="72D873E5"/>
    <w:rsid w:val="74CE640E"/>
    <w:rsid w:val="7531426E"/>
    <w:rsid w:val="773E53ED"/>
    <w:rsid w:val="77782083"/>
    <w:rsid w:val="7A6B434A"/>
    <w:rsid w:val="7A777BFC"/>
    <w:rsid w:val="7B1C0993"/>
    <w:rsid w:val="7D6E5C0B"/>
    <w:rsid w:val="7EA4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novo\Desktop\A4&#65288;&#26032;&#65289;2013&#24180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A4（新）2013年.dot</Template>
  <Company>hwj</Company>
  <Pages>1</Pages>
  <Words>406</Words>
  <Characters>2315</Characters>
  <Lines>19</Lines>
  <Paragraphs>5</Paragraphs>
  <TotalTime>12</TotalTime>
  <ScaleCrop>false</ScaleCrop>
  <LinksUpToDate>false</LinksUpToDate>
  <CharactersWithSpaces>2716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2020-08-30T09:02:00Z</dcterms:created>
  <dc:creator>jnfzc</dc:creator>
  <cp:lastModifiedBy>天天向上</cp:lastModifiedBy>
  <cp:lastPrinted>2020-09-09T03:20:00Z</cp:lastPrinted>
  <dcterms:modified xsi:type="dcterms:W3CDTF">2020-09-10T06:42:07Z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