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《关于印发&lt;济南市建筑垃圾处理专项规划（2021-2035年）&gt;的通知》政策解读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政策背景</w:t>
      </w:r>
      <w:r>
        <w:rPr>
          <w:rFonts w:hint="eastAsia" w:ascii="仿宋_GB2312" w:eastAsia="仿宋_GB2312"/>
          <w:kern w:val="0"/>
          <w:sz w:val="32"/>
          <w:szCs w:val="32"/>
        </w:rPr>
        <w:t>：近年来，随着城市化进程的快速发展，济南市建筑垃圾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产生量逐步增加</w:t>
      </w:r>
      <w:r>
        <w:rPr>
          <w:rFonts w:hint="eastAsia" w:ascii="仿宋_GB2312" w:eastAsia="仿宋_GB2312"/>
          <w:kern w:val="0"/>
          <w:sz w:val="32"/>
          <w:szCs w:val="32"/>
        </w:rPr>
        <w:t>。据统计，2019年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累计</w:t>
      </w:r>
      <w:r>
        <w:rPr>
          <w:rFonts w:hint="eastAsia" w:ascii="仿宋_GB2312" w:eastAsia="仿宋_GB2312"/>
          <w:kern w:val="0"/>
          <w:sz w:val="32"/>
          <w:szCs w:val="32"/>
        </w:rPr>
        <w:t>济南市建筑垃圾产量达6274万吨。虽然济南市的建筑垃圾管理逐渐规范，但由于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拆迁</w:t>
      </w:r>
      <w:r>
        <w:rPr>
          <w:rFonts w:hint="eastAsia" w:ascii="仿宋_GB2312" w:eastAsia="仿宋_GB2312"/>
          <w:kern w:val="0"/>
          <w:sz w:val="32"/>
          <w:szCs w:val="32"/>
        </w:rPr>
        <w:t>垃圾产量巨大、缺乏有效的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高技术</w:t>
      </w:r>
      <w:r>
        <w:rPr>
          <w:rFonts w:hint="eastAsia" w:ascii="仿宋_GB2312" w:eastAsia="仿宋_GB2312"/>
          <w:kern w:val="0"/>
          <w:sz w:val="32"/>
          <w:szCs w:val="32"/>
        </w:rPr>
        <w:t>资源化利用途径，造成部分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拆除</w:t>
      </w:r>
      <w:r>
        <w:rPr>
          <w:rFonts w:hint="eastAsia" w:ascii="仿宋_GB2312" w:eastAsia="仿宋_GB2312"/>
          <w:kern w:val="0"/>
          <w:sz w:val="32"/>
          <w:szCs w:val="32"/>
        </w:rPr>
        <w:t>垃圾无序堆放，不仅浪费了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部分</w:t>
      </w:r>
      <w:r>
        <w:rPr>
          <w:rFonts w:hint="eastAsia" w:ascii="仿宋_GB2312" w:eastAsia="仿宋_GB2312"/>
          <w:kern w:val="0"/>
          <w:sz w:val="32"/>
          <w:szCs w:val="32"/>
        </w:rPr>
        <w:t>土地资源，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kern w:val="0"/>
          <w:sz w:val="32"/>
          <w:szCs w:val="32"/>
        </w:rPr>
        <w:t>易产生二次污染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kern w:val="0"/>
          <w:sz w:val="32"/>
          <w:szCs w:val="32"/>
        </w:rPr>
        <w:t>安全隐患，而且在土地开发过程中会产生二次倒运，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无形中增加建设成本，</w:t>
      </w:r>
      <w:r>
        <w:rPr>
          <w:rFonts w:hint="eastAsia" w:ascii="仿宋_GB2312" w:eastAsia="仿宋_GB2312"/>
          <w:kern w:val="0"/>
          <w:sz w:val="32"/>
          <w:szCs w:val="32"/>
        </w:rPr>
        <w:t>另外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在已编制的环卫专项规划中缺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少</w:t>
      </w:r>
      <w:r>
        <w:rPr>
          <w:rFonts w:hint="eastAsia" w:ascii="仿宋_GB2312" w:eastAsia="仿宋_GB2312"/>
          <w:kern w:val="0"/>
          <w:sz w:val="32"/>
          <w:szCs w:val="32"/>
        </w:rPr>
        <w:t>对建筑垃圾配套设施建设的指导意见，未预留建筑垃圾处理设施的建设用地，造成建筑垃圾处理设施无用地指标，落地难，末端处理能力严重不足。</w:t>
      </w:r>
    </w:p>
    <w:p>
      <w:pPr>
        <w:widowControl/>
        <w:spacing w:line="336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二、决策依据：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月，住建部印发的《关于开展建筑垃圾治理试点工作的通知》（建城函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[2018]65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号），要求试点城市制定建筑垃圾专项规划，合理布局建筑垃圾转运调配、消纳处置和资源化再利用设施，形成与城市发展需求相匹配的建筑垃圾处理体系。</w:t>
      </w:r>
    </w:p>
    <w:p>
      <w:pPr>
        <w:widowControl/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同时，按照2018年5月施行的《济南市城市建筑垃圾管理条例》第四条、第十条等将建筑垃圾处理设施纳入国民经济和社会发展规划、建设城市基础设施建设体系的要求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336" w:lineRule="auto"/>
        <w:ind w:left="2" w:firstLine="566" w:firstLineChars="177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三、出台目的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：《济南市建筑垃圾处置专项规划》旨在解决目前建筑垃圾处置设施与城市发展需求的矛盾，实现建筑垃圾资源化利用，为济南市创建国家中心城市、建设新时代社会主义现代化强省会提供有力支撑。</w:t>
      </w:r>
    </w:p>
    <w:p>
      <w:pPr>
        <w:widowControl/>
        <w:spacing w:line="336" w:lineRule="auto"/>
        <w:ind w:left="2" w:firstLine="566" w:firstLineChars="177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四、主要内容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：《济南市建筑垃圾处置专项规划》借鉴国内外优秀城市建筑垃圾处理经验，结合政策导向、济南实际、技术发展，制定“减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消”的规划策略，打造“源头减量、分类收运、规范处置、广泛回用”的绿色生态建筑垃圾消纳体系。结合废弃矿坑回填、山体修复、洼地填垫，推进建筑消纳设施落地，实现建筑垃圾安全消纳，保障城市持续绿色发展。本项目规划构建济南市绿色生态建筑垃圾消纳体系，规划布局建筑垃圾消纳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处，直接利用点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处，资源化利用厂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处，装修垃圾处理场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处，建筑垃圾综合利用场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处，至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2035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年建筑垃圾总消纳量可达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9.4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亿吨。</w:t>
      </w:r>
    </w:p>
    <w:p>
      <w:pPr>
        <w:widowControl/>
        <w:spacing w:line="336" w:lineRule="auto"/>
        <w:ind w:left="2" w:firstLine="566" w:firstLineChars="177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《济南市建筑垃圾处理专项规划》已充分征求各区县、相关部门意见，完成社会化公示，通过专家评审、规委会审议，于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日正式获市政府批复。</w:t>
      </w:r>
    </w:p>
    <w:p>
      <w:pPr>
        <w:widowControl/>
        <w:spacing w:line="336" w:lineRule="auto"/>
        <w:jc w:val="left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/>
        </w:rPr>
        <w:t xml:space="preserve">                    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mNmMzlkNjIzMzE5NTk0MTcyM2EwNmFmZjQyZjEifQ=="/>
  </w:docVars>
  <w:rsids>
    <w:rsidRoot w:val="00333985"/>
    <w:rsid w:val="00210A6A"/>
    <w:rsid w:val="002C5C5D"/>
    <w:rsid w:val="00333985"/>
    <w:rsid w:val="00541DEF"/>
    <w:rsid w:val="006C7EFE"/>
    <w:rsid w:val="00EA510A"/>
    <w:rsid w:val="09373E82"/>
    <w:rsid w:val="152F130C"/>
    <w:rsid w:val="168D5FF5"/>
    <w:rsid w:val="1EEB7933"/>
    <w:rsid w:val="278F1169"/>
    <w:rsid w:val="2F936B50"/>
    <w:rsid w:val="2FCA30B7"/>
    <w:rsid w:val="3425570B"/>
    <w:rsid w:val="38FC342F"/>
    <w:rsid w:val="482F7DE2"/>
    <w:rsid w:val="4DB6789B"/>
    <w:rsid w:val="52BD51F0"/>
    <w:rsid w:val="57C50A39"/>
    <w:rsid w:val="66172938"/>
    <w:rsid w:val="7AF55603"/>
    <w:rsid w:val="7BE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basedOn w:val="6"/>
    <w:link w:val="2"/>
    <w:semiHidden/>
    <w:qFormat/>
    <w:uiPriority w:val="9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20</TotalTime>
  <ScaleCrop>false</ScaleCrop>
  <LinksUpToDate>false</LinksUpToDate>
  <CharactersWithSpaces>850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2023-08-10T00:59:00Z</dcterms:created>
  <dc:creator>Windows 用户</dc:creator>
  <cp:lastModifiedBy>王延龙</cp:lastModifiedBy>
  <cp:lastPrinted>2023-08-11T08:22:00Z</cp:lastPrinted>
  <dcterms:modified xsi:type="dcterms:W3CDTF">2023-08-12T02:37:16Z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7AB8FA0554A74422B82EF58042760907</vt:lpwstr>
  </property>
</Properties>
</file>