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黑体" w:hAnsi="黑体" w:eastAsia="黑体" w:cs="文星标宋"/>
          <w:sz w:val="44"/>
          <w:szCs w:val="44"/>
        </w:rPr>
      </w:pPr>
      <w:r>
        <w:rPr>
          <w:rFonts w:hint="eastAsia" w:ascii="黑体" w:hAnsi="黑体" w:eastAsia="黑体" w:cs="文星标宋"/>
          <w:sz w:val="44"/>
          <w:szCs w:val="44"/>
        </w:rPr>
        <w:t>济南市临街单位</w:t>
      </w:r>
    </w:p>
    <w:p>
      <w:pPr>
        <w:spacing w:line="540" w:lineRule="exact"/>
        <w:jc w:val="center"/>
        <w:rPr>
          <w:rFonts w:ascii="黑体" w:hAnsi="黑体" w:eastAsia="黑体" w:cs="文星标宋"/>
          <w:sz w:val="44"/>
          <w:szCs w:val="44"/>
        </w:rPr>
      </w:pPr>
      <w:r>
        <w:rPr>
          <w:rFonts w:hint="eastAsia" w:ascii="黑体" w:hAnsi="黑体" w:eastAsia="黑体" w:cs="文星标宋"/>
          <w:sz w:val="44"/>
          <w:szCs w:val="44"/>
        </w:rPr>
        <w:t>“门前</w:t>
      </w:r>
      <w:r>
        <w:rPr>
          <w:rFonts w:hint="eastAsia" w:ascii="黑体" w:hAnsi="黑体" w:eastAsia="黑体" w:cs="文星标宋"/>
          <w:sz w:val="44"/>
          <w:szCs w:val="44"/>
          <w:lang w:val="en-US" w:eastAsia="zh-CN"/>
        </w:rPr>
        <w:t>三</w:t>
      </w:r>
      <w:r>
        <w:rPr>
          <w:rFonts w:hint="eastAsia" w:ascii="黑体" w:hAnsi="黑体" w:eastAsia="黑体" w:cs="文星标宋"/>
          <w:sz w:val="44"/>
          <w:szCs w:val="44"/>
        </w:rPr>
        <w:t>包”责任制管理暂行办法</w:t>
      </w:r>
    </w:p>
    <w:p>
      <w:pPr>
        <w:spacing w:line="540" w:lineRule="exact"/>
        <w:jc w:val="center"/>
        <w:rPr>
          <w:rFonts w:ascii="仿宋_GB2312" w:hAnsi="仿宋_GB2312" w:cs="仿宋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Cs w:val="32"/>
        </w:rPr>
        <w:t>（征求意见稿）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4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第一章 总则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第一条</w:t>
      </w:r>
      <w:r>
        <w:rPr>
          <w:rFonts w:hint="eastAsia" w:ascii="仿宋_GB2312" w:hAnsi="仿宋_GB2312" w:cs="仿宋_GB2312"/>
          <w:szCs w:val="32"/>
        </w:rPr>
        <w:t xml:space="preserve"> 为进一步提升我市城市容貌秩序，巩固国家卫生城市、全国文明城市创建成果，建立全社会共同参与的城市管理长效机制，根据国务院《城市市容和环境卫生管理条例》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《山东省城镇容貌和环境卫生管理办法》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《济南市城市市容管理条例》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《济南市城市环境卫生管理条例》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《济南市文明行为促进条例》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《山东省城市精细化管理标准：市容市貌管理》等法规规范性文件规定，结合我市实际，制定本办法。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第二条</w:t>
      </w:r>
      <w:r>
        <w:rPr>
          <w:rFonts w:hint="eastAsia" w:ascii="仿宋_GB2312" w:hAnsi="仿宋_GB2312" w:cs="仿宋_GB2312"/>
          <w:szCs w:val="32"/>
        </w:rPr>
        <w:t xml:space="preserve"> 本办法所称“门前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包”责任制，是指在城市道路两侧单位门前划定责任区范围，由临街各责任单位承担维护责任区内的环境卫生、市容整洁、基础设施（简称“门前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包”）的城市管理方式。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责任单位是指城市道路两侧的机关、团体、学校、部队、公园、商场、医院、宾馆、酒店、文化娱乐场所、体育场馆、农贸市场、企事业单位、居（村）民委员会、居民小区服务单位、商铺等。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责任区是指责任单位临街一侧房基线（有护栏或者围墙的，从护栏或者围墙算起）至人行道路沿石，无人行道的，至道路中心线。毗邻单位左右各覆盖1米，无毗邻单位的，从本单位四周房基线起算（有护栏或者围墙的，从护栏或者围墙起算）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第三条</w:t>
      </w:r>
      <w:r>
        <w:rPr>
          <w:rFonts w:hint="eastAsia" w:ascii="仿宋_GB2312" w:hAnsi="仿宋_GB2312" w:cs="仿宋_GB2312"/>
          <w:szCs w:val="32"/>
        </w:rPr>
        <w:t xml:space="preserve"> 市城管部门负责全市“门前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包”责任制的组织、指导、协调、检查、考核、奖惩等管理工作。各区县政府（高新区管委会、南部山区管委会、新旧动能转换先行区管委会）（以下简称区政府）系</w:t>
      </w:r>
      <w:r>
        <w:rPr>
          <w:rFonts w:hint="eastAsia" w:ascii="仿宋_GB2312" w:hAnsi="仿宋_GB2312" w:cs="仿宋_GB231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Cs w:val="32"/>
          <w:lang w:val="en-US" w:eastAsia="zh-CN"/>
        </w:rPr>
        <w:t>门前三包</w:t>
      </w:r>
      <w:r>
        <w:rPr>
          <w:rFonts w:hint="eastAsia" w:ascii="仿宋_GB2312" w:hAnsi="仿宋_GB2312" w:cs="仿宋_GB2312"/>
          <w:szCs w:val="32"/>
          <w:lang w:eastAsia="zh-CN"/>
        </w:rPr>
        <w:t>”</w:t>
      </w:r>
      <w:r>
        <w:rPr>
          <w:rFonts w:hint="eastAsia" w:ascii="仿宋_GB2312" w:hAnsi="仿宋_GB2312" w:cs="仿宋_GB2312"/>
          <w:szCs w:val="32"/>
        </w:rPr>
        <w:t>责任制第一责任主体，具体负责本辖区内“门前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包”责任制的工作领导、日常管理、检查指导、考核奖惩等管理工作。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各街道办事处、镇人民政府系</w:t>
      </w:r>
      <w:r>
        <w:rPr>
          <w:rFonts w:hint="eastAsia" w:ascii="仿宋_GB2312" w:hAnsi="仿宋_GB2312" w:cs="仿宋_GB231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Cs w:val="32"/>
          <w:lang w:val="en-US" w:eastAsia="zh-CN"/>
        </w:rPr>
        <w:t>门前三包</w:t>
      </w:r>
      <w:r>
        <w:rPr>
          <w:rFonts w:hint="eastAsia" w:ascii="仿宋_GB2312" w:hAnsi="仿宋_GB2312" w:cs="仿宋_GB2312"/>
          <w:szCs w:val="32"/>
          <w:lang w:eastAsia="zh-CN"/>
        </w:rPr>
        <w:t>”</w:t>
      </w:r>
      <w:r>
        <w:rPr>
          <w:rFonts w:hint="eastAsia" w:ascii="仿宋_GB2312" w:hAnsi="仿宋_GB2312" w:cs="仿宋_GB2312"/>
          <w:szCs w:val="32"/>
        </w:rPr>
        <w:t>责任制直接责任主体，负责本辖区“门前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包”责任制的具体实施，划分各责任单位的责任区，与各责任单位签订“门前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包”责任书，监督各责任单位严格履行责任，及时协调处理落实“门前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包”责任制出现的问题。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城管（综合执法）、园林、文明办、发改、公安、生态环境、住建、交通、商务、市场监督等部门，按照各自职责共同做好“门前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包”相关管理工作。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城市管理委员会办公室负责综合协调</w:t>
      </w:r>
      <w:r>
        <w:rPr>
          <w:rFonts w:hint="eastAsia" w:ascii="仿宋_GB2312" w:hAnsi="仿宋_GB2312" w:cs="仿宋_GB2312"/>
          <w:szCs w:val="32"/>
          <w:lang w:val="en-US" w:eastAsia="zh-CN"/>
        </w:rPr>
        <w:t>相关市直部门</w:t>
      </w:r>
      <w:r>
        <w:rPr>
          <w:rFonts w:hint="eastAsia" w:ascii="仿宋_GB2312" w:hAnsi="仿宋_GB2312" w:cs="仿宋_GB2312"/>
          <w:szCs w:val="32"/>
        </w:rPr>
        <w:t>，适时汇总通报“门前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</w:t>
      </w:r>
      <w:r>
        <w:rPr>
          <w:rFonts w:hint="eastAsia" w:ascii="仿宋_GB2312" w:hAnsi="仿宋_GB2312" w:cs="仿宋_GB2312"/>
          <w:szCs w:val="32"/>
          <w:lang w:val="en-US" w:eastAsia="zh-CN"/>
        </w:rPr>
        <w:t>制</w:t>
      </w:r>
      <w:r>
        <w:rPr>
          <w:rFonts w:hint="eastAsia" w:ascii="仿宋_GB2312" w:hAnsi="仿宋_GB2312" w:cs="仿宋_GB2312"/>
          <w:szCs w:val="32"/>
        </w:rPr>
        <w:t>落实情况。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40" w:lineRule="exact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第二章 标准与实施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第四条</w:t>
      </w:r>
      <w:r>
        <w:rPr>
          <w:rFonts w:hint="eastAsia" w:ascii="仿宋_GB2312" w:hAnsi="仿宋_GB2312" w:cs="仿宋_GB2312"/>
          <w:szCs w:val="32"/>
        </w:rPr>
        <w:t xml:space="preserve"> 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包”的具体内容：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（一）包环境卫生。维护责任区环境卫生，自备废弃物容器，落实垃圾分类要求，并放置在室内或城管部门指定的地点。维护门前地面清洁，保持门前、室内整洁卫生，做到地上无纸屑、果皮、烟头、污物、污水等。冬季及时清扫责任区内冰雪。 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（二）包市容整洁。保持责任区内建筑物立面整洁，不在围墙牌匾、墙壁门窗及灯饰橱窗乱写乱画、乱牵乱挂等，屋顶、阳台不堆放和吊挂杂物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</w:rPr>
        <w:t>无乱设置占道广告招牌、标识牌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Cs w:val="32"/>
        </w:rPr>
        <w:t>门牌号、门前店招、夜景灯光、遮阳（雨）蓬、空调外机和排水（气）管等户外设施按要求设置，并保持完好和整洁。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（三）包基础设施。维护门前人行道板、路沿石、下水道、站牌、垃圾桶等无损坏。建筑施工或门店装修时，须围挡作业。维持垃圾收集容器及门前公共设施整洁，制止和举报损坏卫生设施的行为。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第五条</w:t>
      </w:r>
      <w:r>
        <w:rPr>
          <w:rFonts w:hint="eastAsia" w:ascii="仿宋_GB2312" w:hAnsi="仿宋_GB2312" w:cs="仿宋_GB2312"/>
          <w:szCs w:val="32"/>
        </w:rPr>
        <w:t xml:space="preserve"> 临街责任单位</w:t>
      </w:r>
      <w:r>
        <w:rPr>
          <w:rFonts w:hint="eastAsia" w:ascii="仿宋_GB2312" w:hAnsi="仿宋_GB2312" w:cs="仿宋_GB2312"/>
          <w:szCs w:val="32"/>
          <w:lang w:val="en-US" w:eastAsia="zh-CN"/>
        </w:rPr>
        <w:t>应当</w:t>
      </w:r>
      <w:r>
        <w:rPr>
          <w:rFonts w:hint="eastAsia" w:ascii="仿宋_GB2312" w:hAnsi="仿宋_GB2312" w:cs="仿宋_GB2312"/>
          <w:szCs w:val="32"/>
        </w:rPr>
        <w:t>根据划定的责任区范围，与所在地街道办事处、镇人民政府签订“门前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包”责任书，并接受街道办事处、镇人民政府和市城管部门、区政府对“门前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包”责任制落实情况的监督检查。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市城管</w:t>
      </w:r>
      <w:r>
        <w:rPr>
          <w:rFonts w:hint="eastAsia" w:ascii="仿宋_GB2312" w:hAnsi="仿宋_GB2312" w:cs="仿宋_GB2312"/>
          <w:szCs w:val="32"/>
          <w:lang w:val="en-US" w:eastAsia="zh-CN"/>
        </w:rPr>
        <w:t>部门</w:t>
      </w:r>
      <w:r>
        <w:rPr>
          <w:rFonts w:hint="eastAsia" w:ascii="仿宋_GB2312" w:hAnsi="仿宋_GB2312" w:cs="仿宋_GB2312"/>
          <w:szCs w:val="32"/>
        </w:rPr>
        <w:t>负责拟定“门前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包”责任书。“门前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包”责任书应包括责任区范围、“门前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包”的具体要求、责任单位的权利和义务以及对责任单位的奖惩等主要内容。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Cs w:val="32"/>
        </w:rPr>
        <w:t>第六条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责任单位应按照“门前</w:t>
      </w:r>
      <w:r>
        <w:rPr>
          <w:rFonts w:hint="eastAsia" w:ascii="仿宋_GB2312" w:hAnsi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包”责任书的内容，在区政府与街道办事处、镇人民政府的指导下，做好责任区范围内的“门前</w:t>
      </w:r>
      <w:r>
        <w:rPr>
          <w:rFonts w:hint="eastAsia" w:ascii="仿宋_GB2312" w:hAnsi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包”工作。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40" w:lineRule="exact"/>
        <w:jc w:val="center"/>
        <w:rPr>
          <w:rFonts w:ascii="仿宋_GB2312" w:hAnsi="仿宋_GB2312" w:eastAsia="黑体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第三章 检查和考评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第七条</w:t>
      </w:r>
      <w:r>
        <w:rPr>
          <w:rFonts w:hint="eastAsia" w:ascii="仿宋_GB2312" w:hAnsi="仿宋_GB2312" w:cs="仿宋_GB2312"/>
          <w:szCs w:val="32"/>
        </w:rPr>
        <w:t xml:space="preserve"> 各街道办事处、镇人民政府应对“门前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包”责任制落实情况加强督促检查，发现“门前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包”责任制不落实或落实不好的责任单位，应督促整改。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第八条</w:t>
      </w:r>
      <w:r>
        <w:rPr>
          <w:rFonts w:hint="eastAsia" w:ascii="仿宋_GB2312" w:hAnsi="仿宋_GB2312" w:cs="仿宋_GB2312"/>
          <w:szCs w:val="32"/>
        </w:rPr>
        <w:t xml:space="preserve"> 区政府应加强对“门前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包”责任制落实情况的监督检查，支持街道办事处、镇人民政府和责任单位履行“门前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包”管理责任，对不落实“门前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包”责任制和责任区内违反城市管理法规、规章的行为及时移交相关职能部门处理。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第九条</w:t>
      </w:r>
      <w:r>
        <w:rPr>
          <w:rFonts w:hint="eastAsia" w:ascii="仿宋_GB2312" w:hAnsi="仿宋_GB2312" w:cs="仿宋_GB2312"/>
          <w:szCs w:val="32"/>
        </w:rPr>
        <w:t xml:space="preserve"> 区政府要建立“门前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包”责任制落实情况检查考评制度，每</w:t>
      </w:r>
      <w:r>
        <w:rPr>
          <w:rFonts w:hint="eastAsia" w:ascii="仿宋_GB2312" w:hAnsi="仿宋_GB2312" w:cs="仿宋_GB2312"/>
          <w:color w:val="auto"/>
          <w:szCs w:val="32"/>
          <w:u w:val="none"/>
        </w:rPr>
        <w:t>月</w:t>
      </w:r>
      <w:r>
        <w:rPr>
          <w:rFonts w:hint="eastAsia" w:ascii="仿宋_GB2312" w:hAnsi="仿宋_GB2312" w:cs="仿宋_GB2312"/>
          <w:szCs w:val="32"/>
        </w:rPr>
        <w:t>组织检查一次，每次检查均应做好记录，印发情况通报并限期整改，同时将情况通报及整改情况报市城管办备案。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第十条</w:t>
      </w:r>
      <w:r>
        <w:rPr>
          <w:rFonts w:hint="eastAsia" w:ascii="仿宋_GB2312" w:hAnsi="仿宋_GB2312" w:cs="仿宋_GB2312"/>
          <w:szCs w:val="32"/>
        </w:rPr>
        <w:t xml:space="preserve"> 企业信用等级考核、市场主体信用监管信息纳入“门前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包”责任制考评内容。发改部门对区政府在全国信用信息共享平台（山东济南）查询企业信用等级信息要提供必要帮助，市场监管部门负责向区政府提供市场主体信用监管信息。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numPr>
          <w:ilvl w:val="0"/>
          <w:numId w:val="1"/>
        </w:numPr>
        <w:spacing w:line="540" w:lineRule="exact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保障措施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黑体" w:hAnsi="黑体" w:eastAsia="黑体" w:cs="黑体"/>
          <w:szCs w:val="32"/>
        </w:rPr>
        <w:t>第十一条</w:t>
      </w:r>
      <w:r>
        <w:rPr>
          <w:rFonts w:ascii="仿宋_GB2312" w:hAnsi="仿宋_GB2312" w:cs="仿宋_GB2312"/>
          <w:b/>
          <w:bCs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各区</w:t>
      </w:r>
      <w:r>
        <w:rPr>
          <w:rFonts w:hint="eastAsia" w:ascii="仿宋_GB2312" w:hAnsi="仿宋_GB2312" w:cs="仿宋_GB2312"/>
          <w:szCs w:val="32"/>
          <w:lang w:val="en-US" w:eastAsia="zh-CN"/>
        </w:rPr>
        <w:t>政府</w:t>
      </w:r>
      <w:r>
        <w:rPr>
          <w:rFonts w:hint="eastAsia" w:ascii="仿宋_GB2312" w:hAnsi="仿宋_GB2312" w:cs="仿宋_GB2312"/>
          <w:szCs w:val="32"/>
        </w:rPr>
        <w:t>要组织所辖街道办事处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  <w:lang w:val="en-US" w:eastAsia="zh-CN"/>
        </w:rPr>
        <w:t>镇人民政府</w:t>
      </w:r>
      <w:r>
        <w:rPr>
          <w:rFonts w:hint="eastAsia" w:ascii="仿宋_GB2312" w:hAnsi="仿宋_GB2312" w:cs="仿宋_GB2312"/>
          <w:szCs w:val="32"/>
        </w:rPr>
        <w:t>对责任单位实行档案式管理,对“门前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包”责任单位进行</w:t>
      </w:r>
      <w:r>
        <w:rPr>
          <w:rFonts w:hint="eastAsia" w:ascii="仿宋_GB2312" w:hAnsi="仿宋_GB2312" w:cs="仿宋_GB2312"/>
          <w:szCs w:val="32"/>
          <w:lang w:val="en-US" w:eastAsia="zh-CN"/>
        </w:rPr>
        <w:t>调查</w:t>
      </w:r>
      <w:r>
        <w:rPr>
          <w:rFonts w:hint="eastAsia" w:ascii="仿宋_GB2312" w:hAnsi="仿宋_GB2312" w:cs="仿宋_GB2312"/>
          <w:szCs w:val="32"/>
        </w:rPr>
        <w:t>摸底</w:t>
      </w:r>
      <w:r>
        <w:rPr>
          <w:rFonts w:hint="eastAsia" w:ascii="仿宋_GB2312" w:hAnsi="仿宋_GB2312" w:cs="仿宋_GB2312"/>
          <w:szCs w:val="32"/>
          <w:lang w:val="en-US" w:eastAsia="zh-CN"/>
        </w:rPr>
        <w:t>和登记</w:t>
      </w:r>
      <w:r>
        <w:rPr>
          <w:rFonts w:hint="eastAsia" w:ascii="仿宋_GB2312" w:hAnsi="仿宋_GB2312" w:cs="仿宋_GB2312"/>
          <w:szCs w:val="32"/>
        </w:rPr>
        <w:t>备案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实行</w:t>
      </w:r>
      <w:r>
        <w:rPr>
          <w:rFonts w:hint="eastAsia" w:ascii="仿宋_GB2312" w:hAnsi="仿宋_GB2312" w:cs="仿宋_GB2312"/>
          <w:szCs w:val="32"/>
        </w:rPr>
        <w:t>电子台帐管理,全面登记责任单位的名称(姓名)、地址、电话、责任书签订、违规处罚等情况,实行动态管理。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第十二条</w:t>
      </w:r>
      <w:r>
        <w:rPr>
          <w:rFonts w:ascii="仿宋_GB2312" w:hAnsi="仿宋_GB2312" w:cs="仿宋_GB2312"/>
          <w:b/>
          <w:bCs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各</w:t>
      </w:r>
      <w:r>
        <w:rPr>
          <w:rFonts w:hint="eastAsia" w:ascii="仿宋_GB2312" w:hAnsi="仿宋_GB2312" w:cs="仿宋_GB2312"/>
          <w:szCs w:val="32"/>
          <w:lang w:val="en-US" w:eastAsia="zh-CN"/>
        </w:rPr>
        <w:t>区政府</w:t>
      </w:r>
      <w:r>
        <w:rPr>
          <w:rFonts w:hint="eastAsia" w:ascii="仿宋_GB2312" w:hAnsi="仿宋_GB2312" w:cs="仿宋_GB2312"/>
          <w:szCs w:val="32"/>
        </w:rPr>
        <w:t>要组织所辖街道办事处与责任单位签订责任书并挂牌公示,责任书应当载明“门前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包”的责任人、责任范围、责任内容以及法律责任,公示牌应当标明“门前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包”的责任单位、管理内容、管理人员和监督电话等内容,接受群众监督。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第十三条</w:t>
      </w:r>
      <w:r>
        <w:rPr>
          <w:rFonts w:ascii="仿宋_GB2312" w:hAnsi="仿宋_GB2312" w:cs="仿宋_GB2312"/>
          <w:b/>
          <w:bCs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各区</w:t>
      </w:r>
      <w:r>
        <w:rPr>
          <w:rFonts w:hint="eastAsia" w:ascii="仿宋_GB2312" w:hAnsi="仿宋_GB2312" w:cs="仿宋_GB2312"/>
          <w:szCs w:val="32"/>
          <w:lang w:val="en-US" w:eastAsia="zh-CN"/>
        </w:rPr>
        <w:t>政府</w:t>
      </w:r>
      <w:r>
        <w:rPr>
          <w:rFonts w:hint="eastAsia" w:ascii="仿宋_GB2312" w:hAnsi="仿宋_GB2312" w:cs="仿宋_GB2312"/>
          <w:szCs w:val="32"/>
        </w:rPr>
        <w:t>要</w:t>
      </w:r>
      <w:r>
        <w:rPr>
          <w:rFonts w:hint="eastAsia" w:ascii="仿宋_GB2312" w:hAnsi="仿宋_GB2312" w:cs="仿宋_GB2312"/>
          <w:szCs w:val="32"/>
          <w:lang w:val="en-US" w:eastAsia="zh-CN"/>
        </w:rPr>
        <w:t>确定</w:t>
      </w:r>
      <w:r>
        <w:rPr>
          <w:rFonts w:hint="eastAsia" w:ascii="仿宋_GB2312" w:hAnsi="仿宋_GB2312" w:cs="仿宋_GB2312"/>
          <w:szCs w:val="32"/>
        </w:rPr>
        <w:t>牵头单位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</w:rPr>
        <w:t>负责“门前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包”责任制推进工作,组织所辖街道办事处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  <w:lang w:val="en-US" w:eastAsia="zh-CN"/>
        </w:rPr>
        <w:t>镇人民政府</w:t>
      </w:r>
      <w:r>
        <w:rPr>
          <w:rFonts w:hint="eastAsia" w:ascii="仿宋_GB2312" w:hAnsi="仿宋_GB2312" w:cs="仿宋_GB2312"/>
          <w:szCs w:val="32"/>
        </w:rPr>
        <w:t>配备督查、巡查人员和网格员,每日对责任单位履行“门前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包”责任制情况进行检查,通过走访、巡查和责任告知,帮助责任单位维护市容环境秩序。推行“三长一会＋媒体制”(路长、店长、楼长+志愿者协会+新闻媒体),</w:t>
      </w:r>
      <w:r>
        <w:rPr>
          <w:rFonts w:hint="eastAsia" w:ascii="仿宋_GB2312" w:hAnsi="仿宋_GB2312" w:cs="仿宋_GB2312"/>
          <w:szCs w:val="32"/>
          <w:lang w:val="en-US" w:eastAsia="zh-CN"/>
        </w:rPr>
        <w:t>按照规定，相关</w:t>
      </w:r>
      <w:r>
        <w:rPr>
          <w:rFonts w:hint="eastAsia" w:ascii="仿宋_GB2312" w:hAnsi="仿宋_GB2312" w:cs="仿宋_GB2312"/>
          <w:szCs w:val="32"/>
        </w:rPr>
        <w:t>工作人员担任路长,商户代表担任店长,居民代表担任楼长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与</w:t>
      </w:r>
      <w:r>
        <w:rPr>
          <w:rFonts w:hint="eastAsia" w:ascii="仿宋_GB2312" w:hAnsi="仿宋_GB2312" w:cs="仿宋_GB2312"/>
          <w:szCs w:val="32"/>
        </w:rPr>
        <w:t>城市管理志愿者协会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  <w:lang w:val="en-US" w:eastAsia="zh-CN"/>
        </w:rPr>
        <w:t>媒体共同做好宣传、监督、协助巡查工作，</w:t>
      </w:r>
      <w:r>
        <w:rPr>
          <w:rFonts w:hint="eastAsia" w:ascii="仿宋_GB2312" w:hAnsi="仿宋_GB2312" w:cs="仿宋_GB2312"/>
          <w:szCs w:val="32"/>
        </w:rPr>
        <w:t>督促责任单位落实“门前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包”责任制。</w:t>
      </w:r>
    </w:p>
    <w:p>
      <w:pPr>
        <w:spacing w:line="540" w:lineRule="exact"/>
        <w:jc w:val="center"/>
        <w:rPr>
          <w:rFonts w:ascii="黑体" w:hAnsi="黑体" w:eastAsia="黑体" w:cs="黑体"/>
          <w:szCs w:val="32"/>
        </w:rPr>
      </w:pPr>
    </w:p>
    <w:p>
      <w:pPr>
        <w:spacing w:line="540" w:lineRule="exact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第五章 奖励和惩罚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第十四条</w:t>
      </w:r>
      <w:r>
        <w:rPr>
          <w:rFonts w:hint="eastAsia" w:ascii="仿宋_GB2312" w:hAnsi="仿宋_GB2312" w:cs="仿宋_GB2312"/>
          <w:szCs w:val="32"/>
        </w:rPr>
        <w:t xml:space="preserve"> 每季度区政府要组织相关职能部门对责任单位“门前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包”责任制落实情况进行测评，并统一制作“门前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包星级单位”公示牌对责任单位实施挂牌，实行动态管理。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市城管</w:t>
      </w:r>
      <w:r>
        <w:rPr>
          <w:rFonts w:hint="eastAsia" w:ascii="仿宋_GB2312" w:hAnsi="仿宋_GB2312" w:cs="仿宋_GB2312"/>
          <w:szCs w:val="32"/>
          <w:lang w:val="en-US" w:eastAsia="zh-CN"/>
        </w:rPr>
        <w:t>部门</w:t>
      </w:r>
      <w:r>
        <w:rPr>
          <w:rFonts w:hint="eastAsia" w:ascii="仿宋_GB2312" w:hAnsi="仿宋_GB2312" w:cs="仿宋_GB2312"/>
          <w:szCs w:val="32"/>
        </w:rPr>
        <w:t>负责拟定“门前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包星级单位”公示牌样式、尺寸。</w:t>
      </w:r>
    </w:p>
    <w:p>
      <w:pPr>
        <w:spacing w:line="54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市、区两级文明办注重对考评结果的运用。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第十五条</w:t>
      </w:r>
      <w:r>
        <w:rPr>
          <w:rFonts w:hint="eastAsia" w:ascii="仿宋_GB2312" w:hAnsi="仿宋_GB2312" w:cs="仿宋_GB2312"/>
          <w:szCs w:val="32"/>
        </w:rPr>
        <w:t xml:space="preserve"> 有下列情况之一的，按以下规定处理：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（一）一年内累计三次检查不符合要求的，由区政府对责任单位进行通报批评。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（二）拒不履行“门前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包”责任</w:t>
      </w:r>
      <w:r>
        <w:rPr>
          <w:rFonts w:hint="eastAsia" w:ascii="仿宋_GB2312" w:hAnsi="仿宋_GB2312" w:cs="仿宋_GB2312"/>
          <w:szCs w:val="32"/>
          <w:lang w:val="en-US" w:eastAsia="zh-CN"/>
        </w:rPr>
        <w:t>制</w:t>
      </w:r>
      <w:r>
        <w:rPr>
          <w:rFonts w:hint="eastAsia" w:ascii="仿宋_GB2312" w:hAnsi="仿宋_GB2312" w:cs="仿宋_GB2312"/>
          <w:szCs w:val="32"/>
        </w:rPr>
        <w:t>，</w:t>
      </w:r>
      <w:r>
        <w:rPr>
          <w:rFonts w:hint="eastAsia" w:ascii="仿宋_GB2312" w:hAnsi="仿宋_GB2312" w:cs="仿宋_GB2312"/>
          <w:szCs w:val="32"/>
          <w:lang w:val="en-US" w:eastAsia="zh-CN"/>
        </w:rPr>
        <w:t>违反相关法律法规的，</w:t>
      </w:r>
      <w:r>
        <w:rPr>
          <w:rFonts w:hint="eastAsia" w:ascii="仿宋_GB2312" w:hAnsi="仿宋_GB2312" w:cs="仿宋_GB2312"/>
          <w:szCs w:val="32"/>
        </w:rPr>
        <w:t>由</w:t>
      </w:r>
      <w:r>
        <w:rPr>
          <w:rFonts w:hint="eastAsia" w:ascii="仿宋_GB2312" w:hAnsi="仿宋_GB2312" w:cs="仿宋_GB2312"/>
          <w:szCs w:val="32"/>
          <w:lang w:val="en-US" w:eastAsia="zh-CN"/>
        </w:rPr>
        <w:t>相</w:t>
      </w:r>
      <w:r>
        <w:rPr>
          <w:rFonts w:hint="eastAsia" w:ascii="仿宋_GB2312" w:hAnsi="仿宋_GB2312" w:cs="仿宋_GB2312"/>
          <w:szCs w:val="32"/>
        </w:rPr>
        <w:t>关</w:t>
      </w:r>
      <w:r>
        <w:rPr>
          <w:rFonts w:hint="eastAsia" w:ascii="仿宋_GB2312" w:hAnsi="仿宋_GB2312" w:cs="仿宋_GB2312"/>
          <w:szCs w:val="32"/>
          <w:lang w:val="en-US" w:eastAsia="zh-CN"/>
        </w:rPr>
        <w:t>职能</w:t>
      </w:r>
      <w:r>
        <w:rPr>
          <w:rFonts w:hint="eastAsia" w:ascii="仿宋_GB2312" w:hAnsi="仿宋_GB2312" w:cs="仿宋_GB2312"/>
          <w:szCs w:val="32"/>
        </w:rPr>
        <w:t>部门按有关规定依法处理。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第十六条</w:t>
      </w:r>
      <w:r>
        <w:rPr>
          <w:rFonts w:hint="eastAsia" w:ascii="仿宋_GB2312" w:hAnsi="仿宋_GB2312" w:cs="仿宋_GB2312"/>
          <w:szCs w:val="32"/>
        </w:rPr>
        <w:t xml:space="preserve"> 当事人对行政处罚决定不服的，可以依法申请行政复议或向人民法院</w:t>
      </w:r>
      <w:r>
        <w:rPr>
          <w:rFonts w:hint="eastAsia" w:ascii="仿宋_GB2312" w:hAnsi="仿宋_GB2312" w:cs="仿宋_GB2312"/>
          <w:szCs w:val="32"/>
          <w:lang w:val="en-US" w:eastAsia="zh-CN"/>
        </w:rPr>
        <w:t>提起诉讼</w:t>
      </w:r>
      <w:r>
        <w:rPr>
          <w:rFonts w:hint="eastAsia" w:ascii="仿宋_GB2312" w:hAnsi="仿宋_GB2312" w:cs="仿宋_GB2312"/>
          <w:szCs w:val="32"/>
        </w:rPr>
        <w:t>，逾期不申请复议，也不向人民法院</w:t>
      </w:r>
      <w:r>
        <w:rPr>
          <w:rFonts w:hint="eastAsia" w:ascii="仿宋_GB2312" w:hAnsi="仿宋_GB2312" w:cs="仿宋_GB2312"/>
          <w:szCs w:val="32"/>
          <w:lang w:val="en-US" w:eastAsia="zh-CN"/>
        </w:rPr>
        <w:t>提起诉讼</w:t>
      </w:r>
      <w:r>
        <w:rPr>
          <w:rFonts w:hint="eastAsia" w:ascii="仿宋_GB2312" w:hAnsi="仿宋_GB2312" w:cs="仿宋_GB2312"/>
          <w:szCs w:val="32"/>
        </w:rPr>
        <w:t>，又不履行</w:t>
      </w:r>
      <w:r>
        <w:rPr>
          <w:rFonts w:hint="eastAsia" w:ascii="仿宋_GB2312" w:hAnsi="仿宋_GB2312" w:cs="仿宋_GB2312"/>
          <w:szCs w:val="32"/>
          <w:lang w:val="en-US" w:eastAsia="zh-CN"/>
        </w:rPr>
        <w:t>行政</w:t>
      </w:r>
      <w:r>
        <w:rPr>
          <w:rFonts w:hint="eastAsia" w:ascii="仿宋_GB2312" w:hAnsi="仿宋_GB2312" w:cs="仿宋_GB2312"/>
          <w:szCs w:val="32"/>
        </w:rPr>
        <w:t>处罚决定的，由做出</w:t>
      </w:r>
      <w:r>
        <w:rPr>
          <w:rFonts w:hint="eastAsia" w:ascii="仿宋_GB2312" w:hAnsi="仿宋_GB2312" w:cs="仿宋_GB2312"/>
          <w:szCs w:val="32"/>
          <w:lang w:val="en-US" w:eastAsia="zh-CN"/>
        </w:rPr>
        <w:t>行政</w:t>
      </w:r>
      <w:r>
        <w:rPr>
          <w:rFonts w:hint="eastAsia" w:ascii="仿宋_GB2312" w:hAnsi="仿宋_GB2312" w:cs="仿宋_GB2312"/>
          <w:szCs w:val="32"/>
        </w:rPr>
        <w:t>处罚决定的机关申请人民法院强制执行。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第十七条</w:t>
      </w:r>
      <w:r>
        <w:rPr>
          <w:rFonts w:hint="eastAsia" w:ascii="仿宋_GB2312" w:hAnsi="仿宋_GB2312" w:cs="仿宋_GB2312"/>
          <w:szCs w:val="32"/>
        </w:rPr>
        <w:t xml:space="preserve"> 侮辱、殴打“门前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包”管理部门工作人员或者阻挠其执行公务者，由公安机关依照《中华人民共和国治安管理处罚法》有关规定处理；构成犯罪的由司法机关依法追究刑事责任。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第十八条</w:t>
      </w:r>
      <w:r>
        <w:rPr>
          <w:rFonts w:hint="eastAsia" w:ascii="仿宋_GB2312" w:hAnsi="仿宋_GB2312" w:cs="仿宋_GB2312"/>
          <w:szCs w:val="32"/>
        </w:rPr>
        <w:t xml:space="preserve"> “门前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包”管理部门工作人员玩忽职守、滥用职权、徇私舞弊的，由其所在单位或者上级主管机关给予行政处分；构成犯罪的，依法追究刑事责任。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4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</w:t>
      </w:r>
      <w:r>
        <w:rPr>
          <w:rFonts w:ascii="黑体" w:hAnsi="黑体" w:eastAsia="黑体" w:cs="黑体"/>
          <w:szCs w:val="32"/>
        </w:rPr>
        <w:t>六</w:t>
      </w:r>
      <w:r>
        <w:rPr>
          <w:rFonts w:hint="eastAsia" w:ascii="黑体" w:hAnsi="黑体" w:eastAsia="黑体" w:cs="黑体"/>
          <w:szCs w:val="32"/>
        </w:rPr>
        <w:t>章 附则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第十九条</w:t>
      </w:r>
      <w:r>
        <w:rPr>
          <w:rFonts w:hint="eastAsia" w:ascii="仿宋_GB2312" w:hAnsi="仿宋_GB2312" w:cs="仿宋_GB2312"/>
          <w:szCs w:val="32"/>
        </w:rPr>
        <w:t xml:space="preserve"> 本办法适用于本市建成区，建成区外可结合当地实际情况参照执行。</w:t>
      </w:r>
    </w:p>
    <w:p>
      <w:pPr>
        <w:spacing w:line="54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第二十条</w:t>
      </w:r>
      <w:r>
        <w:rPr>
          <w:rFonts w:hint="eastAsia" w:ascii="仿宋_GB2312" w:hAnsi="仿宋_GB2312" w:cs="仿宋_GB2312"/>
          <w:szCs w:val="32"/>
        </w:rPr>
        <w:t xml:space="preserve"> 本办法自公布之日起施行</w:t>
      </w:r>
      <w:bookmarkStart w:id="0" w:name="_GoBack"/>
      <w:bookmarkEnd w:id="0"/>
      <w:r>
        <w:rPr>
          <w:rFonts w:hint="eastAsia" w:ascii="仿宋_GB2312" w:hAnsi="仿宋_GB2312" w:cs="仿宋_GB2312"/>
          <w:szCs w:val="32"/>
        </w:rPr>
        <w:t>。</w:t>
      </w:r>
    </w:p>
    <w:sectPr>
      <w:footerReference r:id="rId3" w:type="default"/>
      <w:footerReference r:id="rId4" w:type="even"/>
      <w:pgSz w:w="11906" w:h="16838"/>
      <w:pgMar w:top="1814" w:right="1587" w:bottom="1814" w:left="1587" w:header="851" w:footer="992" w:gutter="0"/>
      <w:cols w:space="0" w:num="1"/>
      <w:docGrid w:type="linesAndChars" w:linePitch="597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华文中宋" w:hAnsi="华文中宋"/>
        <w:sz w:val="28"/>
        <w:szCs w:val="28"/>
      </w:rPr>
    </w:pPr>
    <w:r>
      <w:rPr>
        <w:rStyle w:val="6"/>
        <w:rFonts w:hint="eastAsia" w:ascii="华文中宋" w:hAnsi="华文中宋"/>
        <w:sz w:val="28"/>
        <w:szCs w:val="28"/>
      </w:rPr>
      <w:t>—</w:t>
    </w:r>
    <w:r>
      <w:rPr>
        <w:rStyle w:val="6"/>
        <w:rFonts w:ascii="华文中宋" w:hAnsi="华文中宋"/>
        <w:sz w:val="28"/>
        <w:szCs w:val="28"/>
      </w:rPr>
      <w:fldChar w:fldCharType="begin"/>
    </w:r>
    <w:r>
      <w:rPr>
        <w:rStyle w:val="6"/>
        <w:rFonts w:ascii="华文中宋" w:hAnsi="华文中宋"/>
        <w:sz w:val="28"/>
        <w:szCs w:val="28"/>
      </w:rPr>
      <w:instrText xml:space="preserve">PAGE  </w:instrText>
    </w:r>
    <w:r>
      <w:rPr>
        <w:rStyle w:val="6"/>
        <w:rFonts w:ascii="华文中宋" w:hAnsi="华文中宋"/>
        <w:sz w:val="28"/>
        <w:szCs w:val="28"/>
      </w:rPr>
      <w:fldChar w:fldCharType="separate"/>
    </w:r>
    <w:r>
      <w:rPr>
        <w:rStyle w:val="6"/>
        <w:rFonts w:ascii="华文中宋" w:hAnsi="华文中宋"/>
        <w:sz w:val="28"/>
        <w:szCs w:val="28"/>
      </w:rPr>
      <w:t>1</w:t>
    </w:r>
    <w:r>
      <w:rPr>
        <w:rStyle w:val="6"/>
        <w:rFonts w:ascii="华文中宋" w:hAnsi="华文中宋"/>
        <w:sz w:val="28"/>
        <w:szCs w:val="28"/>
      </w:rPr>
      <w:fldChar w:fldCharType="end"/>
    </w:r>
    <w:r>
      <w:rPr>
        <w:rStyle w:val="6"/>
        <w:rFonts w:hint="eastAsia" w:ascii="华文中宋" w:hAnsi="华文中宋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9223"/>
    <w:multiLevelType w:val="singleLevel"/>
    <w:tmpl w:val="15969223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60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E1"/>
    <w:rsid w:val="0018516C"/>
    <w:rsid w:val="00276ABF"/>
    <w:rsid w:val="003C1D18"/>
    <w:rsid w:val="00435AC3"/>
    <w:rsid w:val="004C435A"/>
    <w:rsid w:val="00524A1E"/>
    <w:rsid w:val="005700A8"/>
    <w:rsid w:val="006150CC"/>
    <w:rsid w:val="00670A89"/>
    <w:rsid w:val="0073333F"/>
    <w:rsid w:val="0075432E"/>
    <w:rsid w:val="008C3FCB"/>
    <w:rsid w:val="00970A5D"/>
    <w:rsid w:val="00AE5C7A"/>
    <w:rsid w:val="00B35BE2"/>
    <w:rsid w:val="00C40CA8"/>
    <w:rsid w:val="00C72883"/>
    <w:rsid w:val="00D13E24"/>
    <w:rsid w:val="00D3694E"/>
    <w:rsid w:val="00D76D50"/>
    <w:rsid w:val="00DC7EEB"/>
    <w:rsid w:val="00E73CF3"/>
    <w:rsid w:val="00EE1E62"/>
    <w:rsid w:val="00F4091B"/>
    <w:rsid w:val="00F449EA"/>
    <w:rsid w:val="00FD70E1"/>
    <w:rsid w:val="01061E92"/>
    <w:rsid w:val="03064FB9"/>
    <w:rsid w:val="0528086F"/>
    <w:rsid w:val="05F37A61"/>
    <w:rsid w:val="067125A6"/>
    <w:rsid w:val="087F6086"/>
    <w:rsid w:val="098E10CE"/>
    <w:rsid w:val="0BCA5E83"/>
    <w:rsid w:val="0D1841C4"/>
    <w:rsid w:val="0D7A086E"/>
    <w:rsid w:val="0ED94BC4"/>
    <w:rsid w:val="0F261DB6"/>
    <w:rsid w:val="0FE263AD"/>
    <w:rsid w:val="12164E7D"/>
    <w:rsid w:val="12DD2189"/>
    <w:rsid w:val="13112A8E"/>
    <w:rsid w:val="13C40B29"/>
    <w:rsid w:val="158076ED"/>
    <w:rsid w:val="16300E22"/>
    <w:rsid w:val="164A4FCC"/>
    <w:rsid w:val="16B04AB6"/>
    <w:rsid w:val="173B6BD6"/>
    <w:rsid w:val="174B1F42"/>
    <w:rsid w:val="1841654E"/>
    <w:rsid w:val="184F39F5"/>
    <w:rsid w:val="185140A7"/>
    <w:rsid w:val="19B879F6"/>
    <w:rsid w:val="19F30676"/>
    <w:rsid w:val="1BDA3635"/>
    <w:rsid w:val="1C42654A"/>
    <w:rsid w:val="1D0A0261"/>
    <w:rsid w:val="1DC3612C"/>
    <w:rsid w:val="20EB4300"/>
    <w:rsid w:val="215D158E"/>
    <w:rsid w:val="2242785E"/>
    <w:rsid w:val="22DC0F7B"/>
    <w:rsid w:val="22E71EF2"/>
    <w:rsid w:val="23FD0AB0"/>
    <w:rsid w:val="24850A93"/>
    <w:rsid w:val="27AA0034"/>
    <w:rsid w:val="28A15058"/>
    <w:rsid w:val="29D72319"/>
    <w:rsid w:val="2AF86E14"/>
    <w:rsid w:val="2CB23BFA"/>
    <w:rsid w:val="2D3B3688"/>
    <w:rsid w:val="2DFD3DF3"/>
    <w:rsid w:val="2EF23BFC"/>
    <w:rsid w:val="2FE551F1"/>
    <w:rsid w:val="31596170"/>
    <w:rsid w:val="319D6AED"/>
    <w:rsid w:val="330C008C"/>
    <w:rsid w:val="33807E35"/>
    <w:rsid w:val="35074E67"/>
    <w:rsid w:val="36497EA8"/>
    <w:rsid w:val="367A3EC1"/>
    <w:rsid w:val="371251FF"/>
    <w:rsid w:val="38314595"/>
    <w:rsid w:val="39EE5A97"/>
    <w:rsid w:val="3C272C71"/>
    <w:rsid w:val="3E5C1A0F"/>
    <w:rsid w:val="3EAE3E5C"/>
    <w:rsid w:val="3F9730AD"/>
    <w:rsid w:val="402312EB"/>
    <w:rsid w:val="412C1A81"/>
    <w:rsid w:val="43AA53B5"/>
    <w:rsid w:val="44954657"/>
    <w:rsid w:val="45793364"/>
    <w:rsid w:val="463511AD"/>
    <w:rsid w:val="47EC299C"/>
    <w:rsid w:val="48591DC4"/>
    <w:rsid w:val="49AC559E"/>
    <w:rsid w:val="4A7122DC"/>
    <w:rsid w:val="4A7C34A1"/>
    <w:rsid w:val="4BDC0BF6"/>
    <w:rsid w:val="4C046CDE"/>
    <w:rsid w:val="4C3C1233"/>
    <w:rsid w:val="4CB17C6E"/>
    <w:rsid w:val="4FDF2B6B"/>
    <w:rsid w:val="500B244F"/>
    <w:rsid w:val="50397771"/>
    <w:rsid w:val="50A24FE4"/>
    <w:rsid w:val="50FF2B9C"/>
    <w:rsid w:val="51B77B69"/>
    <w:rsid w:val="522F70AD"/>
    <w:rsid w:val="52B5778C"/>
    <w:rsid w:val="57E7548F"/>
    <w:rsid w:val="580824A2"/>
    <w:rsid w:val="59066DCE"/>
    <w:rsid w:val="59426E68"/>
    <w:rsid w:val="59F4615C"/>
    <w:rsid w:val="5BCA18F1"/>
    <w:rsid w:val="5C62727B"/>
    <w:rsid w:val="5C973CA6"/>
    <w:rsid w:val="5F6F7D38"/>
    <w:rsid w:val="61757949"/>
    <w:rsid w:val="628F523B"/>
    <w:rsid w:val="636918E2"/>
    <w:rsid w:val="63E10CCA"/>
    <w:rsid w:val="65406FBE"/>
    <w:rsid w:val="65994163"/>
    <w:rsid w:val="66527D2C"/>
    <w:rsid w:val="669E1DF0"/>
    <w:rsid w:val="6ADD417F"/>
    <w:rsid w:val="6B72307A"/>
    <w:rsid w:val="6C8E45BC"/>
    <w:rsid w:val="6D3A2273"/>
    <w:rsid w:val="6DD171F3"/>
    <w:rsid w:val="6E6808C3"/>
    <w:rsid w:val="6E6A0FE2"/>
    <w:rsid w:val="6E7259D2"/>
    <w:rsid w:val="6F064BE9"/>
    <w:rsid w:val="6F8073C7"/>
    <w:rsid w:val="7050119F"/>
    <w:rsid w:val="72256E16"/>
    <w:rsid w:val="72374C22"/>
    <w:rsid w:val="72D873E5"/>
    <w:rsid w:val="74CE640E"/>
    <w:rsid w:val="7531426E"/>
    <w:rsid w:val="772C3B1E"/>
    <w:rsid w:val="773E53ED"/>
    <w:rsid w:val="775B6DAB"/>
    <w:rsid w:val="77782083"/>
    <w:rsid w:val="77C760CA"/>
    <w:rsid w:val="7A6B434A"/>
    <w:rsid w:val="7A777BFC"/>
    <w:rsid w:val="7A8C205A"/>
    <w:rsid w:val="7AC624EF"/>
    <w:rsid w:val="7B1C0993"/>
    <w:rsid w:val="7C025B6D"/>
    <w:rsid w:val="7D6E5C0B"/>
    <w:rsid w:val="7DE36ABF"/>
    <w:rsid w:val="7E246B95"/>
    <w:rsid w:val="7E5D1315"/>
    <w:rsid w:val="7EA46167"/>
    <w:rsid w:val="7EA86EF1"/>
    <w:rsid w:val="7ECE29B1"/>
    <w:rsid w:val="7F4C1A31"/>
    <w:rsid w:val="7FB2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A4&#65288;&#26032;&#65289;2013&#2418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A4（新）2013年.dot</Template>
  <Company>hwj</Company>
  <Pages>1</Pages>
  <Words>462</Words>
  <Characters>2635</Characters>
  <Lines>21</Lines>
  <Paragraphs>6</Paragraphs>
  <TotalTime>18</TotalTime>
  <ScaleCrop>false</ScaleCrop>
  <LinksUpToDate>false</LinksUpToDate>
  <CharactersWithSpaces>3091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2020-08-30T09:02:00Z</dcterms:created>
  <dc:creator>jnfzc</dc:creator>
  <cp:lastModifiedBy>天天向上</cp:lastModifiedBy>
  <cp:lastPrinted>2020-09-27T00:36:00Z</cp:lastPrinted>
  <dcterms:modified xsi:type="dcterms:W3CDTF">2020-09-28T08:17:52Z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